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AEEC" w14:textId="7B57B31A" w:rsidR="00C33DEE" w:rsidRDefault="00C33DEE" w:rsidP="0041378F">
      <w:pPr>
        <w:jc w:val="center"/>
        <w:rPr>
          <w:rFonts w:asciiTheme="majorHAnsi" w:hAnsiTheme="majorHAnsi" w:cstheme="majorHAnsi"/>
          <w:sz w:val="72"/>
          <w:szCs w:val="72"/>
        </w:rPr>
      </w:pPr>
      <w:r w:rsidRPr="00C33DEE">
        <w:rPr>
          <w:rFonts w:asciiTheme="majorHAnsi" w:hAnsiTheme="majorHAnsi" w:cstheme="majorHAnsi"/>
          <w:sz w:val="72"/>
          <w:szCs w:val="72"/>
        </w:rPr>
        <w:drawing>
          <wp:anchor distT="0" distB="0" distL="114300" distR="114300" simplePos="0" relativeHeight="251659264" behindDoc="0" locked="0" layoutInCell="1" allowOverlap="1" wp14:anchorId="4D7083CF" wp14:editId="20D26E39">
            <wp:simplePos x="0" y="0"/>
            <wp:positionH relativeFrom="margin">
              <wp:posOffset>-352425</wp:posOffset>
            </wp:positionH>
            <wp:positionV relativeFrom="paragraph">
              <wp:posOffset>-742950</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DEE">
        <w:rPr>
          <w:rFonts w:asciiTheme="majorHAnsi" w:hAnsiTheme="majorHAnsi" w:cstheme="majorHAnsi"/>
          <w:sz w:val="72"/>
          <w:szCs w:val="72"/>
        </w:rPr>
        <w:drawing>
          <wp:anchor distT="0" distB="0" distL="114300" distR="114300" simplePos="0" relativeHeight="251660288" behindDoc="0" locked="0" layoutInCell="1" allowOverlap="1" wp14:anchorId="1ABB5190" wp14:editId="1484A346">
            <wp:simplePos x="0" y="0"/>
            <wp:positionH relativeFrom="margin">
              <wp:posOffset>3576320</wp:posOffset>
            </wp:positionH>
            <wp:positionV relativeFrom="paragraph">
              <wp:posOffset>-754380</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B84B2" w14:textId="77777777" w:rsidR="00C33DEE" w:rsidRDefault="00C33DEE" w:rsidP="0041378F">
      <w:pPr>
        <w:jc w:val="center"/>
        <w:rPr>
          <w:rFonts w:asciiTheme="majorHAnsi" w:hAnsiTheme="majorHAnsi" w:cstheme="majorHAnsi"/>
          <w:sz w:val="72"/>
          <w:szCs w:val="72"/>
        </w:rPr>
      </w:pPr>
    </w:p>
    <w:p w14:paraId="696F1A58" w14:textId="77777777" w:rsidR="00C33DEE" w:rsidRDefault="00C33DEE" w:rsidP="0041378F">
      <w:pPr>
        <w:jc w:val="center"/>
        <w:rPr>
          <w:rFonts w:asciiTheme="majorHAnsi" w:hAnsiTheme="majorHAnsi" w:cstheme="majorHAnsi"/>
          <w:sz w:val="72"/>
          <w:szCs w:val="72"/>
        </w:rPr>
      </w:pPr>
    </w:p>
    <w:p w14:paraId="440D1C0E" w14:textId="77777777" w:rsidR="00C33DEE" w:rsidRPr="00C33DEE" w:rsidRDefault="00C33DEE" w:rsidP="00C33DEE">
      <w:pPr>
        <w:spacing w:after="453"/>
        <w:ind w:left="10" w:hanging="10"/>
        <w:jc w:val="center"/>
        <w:rPr>
          <w:rFonts w:asciiTheme="majorHAnsi" w:eastAsia="Calibri" w:hAnsiTheme="majorHAnsi" w:cstheme="majorHAnsi"/>
          <w:bCs/>
          <w:color w:val="000000"/>
          <w:sz w:val="72"/>
          <w:szCs w:val="72"/>
          <w:lang w:eastAsia="en-GB"/>
        </w:rPr>
      </w:pPr>
      <w:r w:rsidRPr="00C33DEE">
        <w:rPr>
          <w:rFonts w:asciiTheme="majorHAnsi" w:eastAsia="Calibri" w:hAnsiTheme="majorHAnsi" w:cstheme="majorHAnsi"/>
          <w:bCs/>
          <w:color w:val="000000"/>
          <w:sz w:val="72"/>
          <w:szCs w:val="72"/>
          <w:lang w:eastAsia="en-GB"/>
        </w:rPr>
        <w:t>Cavendish View School</w:t>
      </w:r>
    </w:p>
    <w:p w14:paraId="37BAE094" w14:textId="6652A385" w:rsidR="00B35103" w:rsidRPr="00C33DEE" w:rsidRDefault="0041378F" w:rsidP="0041378F">
      <w:pPr>
        <w:jc w:val="center"/>
        <w:rPr>
          <w:rFonts w:asciiTheme="majorHAnsi" w:hAnsiTheme="majorHAnsi" w:cstheme="majorHAnsi"/>
          <w:sz w:val="72"/>
          <w:szCs w:val="72"/>
        </w:rPr>
      </w:pPr>
      <w:r w:rsidRPr="00C33DEE">
        <w:rPr>
          <w:rFonts w:asciiTheme="majorHAnsi" w:hAnsiTheme="majorHAnsi" w:cstheme="majorHAnsi"/>
          <w:sz w:val="72"/>
          <w:szCs w:val="72"/>
        </w:rPr>
        <w:t xml:space="preserve">Charging and remissions policy </w:t>
      </w:r>
    </w:p>
    <w:p w14:paraId="229BE6B1" w14:textId="51EDD231" w:rsidR="0041378F" w:rsidRPr="00C33DEE" w:rsidRDefault="0041378F" w:rsidP="0041378F">
      <w:pPr>
        <w:jc w:val="center"/>
        <w:rPr>
          <w:rFonts w:asciiTheme="majorHAnsi" w:hAnsiTheme="majorHAnsi" w:cstheme="majorHAnsi"/>
          <w:sz w:val="72"/>
          <w:szCs w:val="72"/>
        </w:rPr>
      </w:pPr>
    </w:p>
    <w:p w14:paraId="2BA57CFD" w14:textId="06B8D1ED" w:rsidR="0041378F" w:rsidRDefault="0041378F" w:rsidP="0041378F">
      <w:pPr>
        <w:jc w:val="center"/>
        <w:rPr>
          <w:sz w:val="96"/>
          <w:szCs w:val="96"/>
        </w:rPr>
      </w:pPr>
    </w:p>
    <w:p w14:paraId="7B5A26AB" w14:textId="4C8A6974" w:rsidR="0041378F" w:rsidRDefault="0041378F" w:rsidP="0041378F">
      <w:pPr>
        <w:jc w:val="center"/>
        <w:rPr>
          <w:sz w:val="96"/>
          <w:szCs w:val="96"/>
        </w:rPr>
      </w:pPr>
    </w:p>
    <w:p w14:paraId="74FC6061" w14:textId="110A4FE5" w:rsidR="0041378F" w:rsidRDefault="0041378F" w:rsidP="0041378F">
      <w:pPr>
        <w:jc w:val="center"/>
        <w:rPr>
          <w:sz w:val="96"/>
          <w:szCs w:val="96"/>
        </w:rPr>
      </w:pPr>
    </w:p>
    <w:p w14:paraId="53A7B1F9" w14:textId="6363769F" w:rsidR="0041378F" w:rsidRDefault="0041378F" w:rsidP="0041378F">
      <w:pPr>
        <w:jc w:val="center"/>
        <w:rPr>
          <w:sz w:val="96"/>
          <w:szCs w:val="96"/>
        </w:rPr>
      </w:pPr>
    </w:p>
    <w:p w14:paraId="79CA9171" w14:textId="1E789C2A" w:rsidR="0041378F" w:rsidRDefault="00C33DEE" w:rsidP="00C33DEE">
      <w:pPr>
        <w:rPr>
          <w:rFonts w:asciiTheme="majorHAnsi" w:hAnsiTheme="majorHAnsi" w:cstheme="majorHAnsi"/>
          <w:sz w:val="28"/>
          <w:szCs w:val="28"/>
        </w:rPr>
      </w:pPr>
      <w:r w:rsidRPr="00C33DEE">
        <w:rPr>
          <w:rFonts w:asciiTheme="majorHAnsi" w:hAnsiTheme="majorHAnsi" w:cstheme="majorHAnsi"/>
          <w:sz w:val="28"/>
          <w:szCs w:val="28"/>
        </w:rPr>
        <w:t>Created on: 02/02/2022</w:t>
      </w:r>
    </w:p>
    <w:p w14:paraId="140BB826" w14:textId="681DDDD3" w:rsidR="00C33DEE" w:rsidRPr="00C33DEE" w:rsidRDefault="00C33DEE" w:rsidP="00C33DEE">
      <w:pPr>
        <w:rPr>
          <w:rFonts w:asciiTheme="majorHAnsi" w:hAnsiTheme="majorHAnsi" w:cstheme="majorHAnsi"/>
          <w:sz w:val="28"/>
          <w:szCs w:val="28"/>
        </w:rPr>
      </w:pPr>
      <w:r>
        <w:rPr>
          <w:rFonts w:asciiTheme="majorHAnsi" w:hAnsiTheme="majorHAnsi" w:cstheme="majorHAnsi"/>
          <w:sz w:val="28"/>
          <w:szCs w:val="28"/>
        </w:rPr>
        <w:t>Reviewed on: 02/02/2022</w:t>
      </w:r>
    </w:p>
    <w:p w14:paraId="7E30CABD" w14:textId="77777777" w:rsidR="00C33DEE" w:rsidRDefault="00C33DEE" w:rsidP="0041378F">
      <w:pPr>
        <w:shd w:val="clear" w:color="auto" w:fill="FFFFFF"/>
        <w:spacing w:after="150" w:line="480" w:lineRule="atLeast"/>
        <w:outlineLvl w:val="2"/>
        <w:rPr>
          <w:rFonts w:asciiTheme="majorHAnsi" w:eastAsia="Times New Roman" w:hAnsiTheme="majorHAnsi" w:cstheme="majorHAnsi"/>
          <w:b/>
          <w:bCs/>
          <w:color w:val="000000" w:themeColor="text1"/>
          <w:sz w:val="28"/>
          <w:szCs w:val="28"/>
          <w:lang w:eastAsia="en-GB"/>
        </w:rPr>
      </w:pPr>
    </w:p>
    <w:p w14:paraId="37062883" w14:textId="25F33479" w:rsidR="0041378F" w:rsidRPr="00C33DEE" w:rsidRDefault="0041378F" w:rsidP="0041378F">
      <w:pPr>
        <w:shd w:val="clear" w:color="auto" w:fill="FFFFFF"/>
        <w:spacing w:after="150" w:line="480" w:lineRule="atLeast"/>
        <w:outlineLvl w:val="2"/>
        <w:rPr>
          <w:rFonts w:asciiTheme="majorHAnsi" w:eastAsia="Times New Roman" w:hAnsiTheme="majorHAnsi" w:cstheme="majorHAnsi"/>
          <w:b/>
          <w:bCs/>
          <w:color w:val="000000" w:themeColor="text1"/>
          <w:sz w:val="28"/>
          <w:szCs w:val="28"/>
          <w:lang w:eastAsia="en-GB"/>
        </w:rPr>
      </w:pPr>
      <w:bookmarkStart w:id="0" w:name="_GoBack"/>
      <w:bookmarkEnd w:id="0"/>
      <w:r w:rsidRPr="00C33DEE">
        <w:rPr>
          <w:rFonts w:asciiTheme="majorHAnsi" w:eastAsia="Times New Roman" w:hAnsiTheme="majorHAnsi" w:cstheme="majorHAnsi"/>
          <w:b/>
          <w:bCs/>
          <w:color w:val="000000" w:themeColor="text1"/>
          <w:sz w:val="28"/>
          <w:szCs w:val="28"/>
          <w:lang w:eastAsia="en-GB"/>
        </w:rPr>
        <w:lastRenderedPageBreak/>
        <w:t>Policy on charging for and remissions for school activities</w:t>
      </w:r>
    </w:p>
    <w:p w14:paraId="024CF4D2" w14:textId="1ED0D217" w:rsidR="0041378F" w:rsidRPr="00C33DEE" w:rsidRDefault="0041378F" w:rsidP="0041378F">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 xml:space="preserve">Cavendish View School believe </w:t>
      </w:r>
      <w:r w:rsidR="00FB72C3" w:rsidRPr="00C33DEE">
        <w:rPr>
          <w:rFonts w:asciiTheme="majorHAnsi" w:eastAsia="Times New Roman" w:hAnsiTheme="majorHAnsi" w:cstheme="majorHAnsi"/>
          <w:b/>
          <w:bCs/>
          <w:color w:val="000000" w:themeColor="text1"/>
          <w:sz w:val="28"/>
          <w:szCs w:val="28"/>
          <w:lang w:eastAsia="en-GB"/>
        </w:rPr>
        <w:t>that:</w:t>
      </w:r>
      <w:r w:rsidRPr="00C33DEE">
        <w:rPr>
          <w:rFonts w:asciiTheme="majorHAnsi" w:eastAsia="Times New Roman" w:hAnsiTheme="majorHAnsi" w:cstheme="majorHAnsi"/>
          <w:b/>
          <w:bCs/>
          <w:color w:val="000000" w:themeColor="text1"/>
          <w:sz w:val="28"/>
          <w:szCs w:val="28"/>
          <w:lang w:eastAsia="en-GB"/>
        </w:rPr>
        <w:t>-</w:t>
      </w:r>
      <w:r w:rsidRPr="00C33DEE">
        <w:rPr>
          <w:rFonts w:asciiTheme="majorHAnsi" w:eastAsia="Times New Roman" w:hAnsiTheme="majorHAnsi" w:cstheme="majorHAnsi"/>
          <w:color w:val="000000" w:themeColor="text1"/>
          <w:sz w:val="28"/>
          <w:szCs w:val="28"/>
          <w:lang w:eastAsia="en-GB"/>
        </w:rPr>
        <w:br/>
        <w:t xml:space="preserve">All our pupils should have an equal opportunity to benefit from school activities and visits (curricular and </w:t>
      </w:r>
      <w:r w:rsidR="00FB72C3" w:rsidRPr="00C33DEE">
        <w:rPr>
          <w:rFonts w:asciiTheme="majorHAnsi" w:eastAsia="Times New Roman" w:hAnsiTheme="majorHAnsi" w:cstheme="majorHAnsi"/>
          <w:color w:val="000000" w:themeColor="text1"/>
          <w:sz w:val="28"/>
          <w:szCs w:val="28"/>
          <w:lang w:eastAsia="en-GB"/>
        </w:rPr>
        <w:t>extracurricular</w:t>
      </w:r>
      <w:r w:rsidRPr="00C33DEE">
        <w:rPr>
          <w:rFonts w:asciiTheme="majorHAnsi" w:eastAsia="Times New Roman" w:hAnsiTheme="majorHAnsi" w:cstheme="majorHAnsi"/>
          <w:color w:val="000000" w:themeColor="text1"/>
          <w:sz w:val="28"/>
          <w:szCs w:val="28"/>
          <w:lang w:eastAsia="en-GB"/>
        </w:rPr>
        <w:t>) independent of their parents’ financial means. This charging and remissions policy describes how we will do our best to ensure a good range of visits and activities is offered and, at the same time, try to minimise the financial barriers which may prevent some pupils taking full advantage of the opportunities.</w:t>
      </w:r>
    </w:p>
    <w:p w14:paraId="5AA782EB" w14:textId="77777777" w:rsidR="00FB72C3" w:rsidRPr="00C33DEE" w:rsidRDefault="00FB72C3" w:rsidP="00FB72C3">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The 1996 Education Act requires all schools to have a policy on charging and remissions for school activities, which will be kept under regular review.  The review date for this policy is recorded at the end of the document.</w:t>
      </w:r>
    </w:p>
    <w:p w14:paraId="67565B18" w14:textId="77777777" w:rsidR="00FB72C3" w:rsidRPr="00C33DEE" w:rsidRDefault="00FB72C3" w:rsidP="00FB72C3">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1.         The policy identifies activities for which:</w:t>
      </w:r>
    </w:p>
    <w:p w14:paraId="76F18CDE" w14:textId="77777777" w:rsidR="00FB72C3" w:rsidRPr="00C33DEE" w:rsidRDefault="00FB72C3" w:rsidP="00FB72C3">
      <w:pPr>
        <w:numPr>
          <w:ilvl w:val="0"/>
          <w:numId w:val="1"/>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charges will not be made.</w:t>
      </w:r>
    </w:p>
    <w:p w14:paraId="2BB62918" w14:textId="77777777" w:rsidR="00FB72C3" w:rsidRPr="00C33DEE" w:rsidRDefault="00FB72C3" w:rsidP="00FB72C3">
      <w:pPr>
        <w:numPr>
          <w:ilvl w:val="0"/>
          <w:numId w:val="1"/>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charges will be made</w:t>
      </w:r>
    </w:p>
    <w:p w14:paraId="06534EB8" w14:textId="5BD9FC98" w:rsidR="00FB72C3" w:rsidRPr="00C33DEE" w:rsidRDefault="00FB72C3" w:rsidP="00FB72C3">
      <w:pPr>
        <w:numPr>
          <w:ilvl w:val="0"/>
          <w:numId w:val="1"/>
        </w:numPr>
        <w:shd w:val="clear" w:color="auto" w:fill="FFFFFF"/>
        <w:spacing w:before="100" w:beforeAutospacing="1" w:after="100" w:afterAutospacing="1" w:line="240" w:lineRule="auto"/>
        <w:ind w:left="1320"/>
        <w:rPr>
          <w:rFonts w:asciiTheme="majorHAnsi" w:eastAsia="Times New Roman" w:hAnsiTheme="majorHAnsi" w:cstheme="majorHAnsi"/>
          <w:color w:val="333333"/>
          <w:sz w:val="28"/>
          <w:szCs w:val="28"/>
          <w:lang w:eastAsia="en-GB"/>
        </w:rPr>
      </w:pPr>
      <w:r w:rsidRPr="00C33DEE">
        <w:rPr>
          <w:rFonts w:asciiTheme="majorHAnsi" w:eastAsia="Times New Roman" w:hAnsiTheme="majorHAnsi" w:cstheme="majorHAnsi"/>
          <w:b/>
          <w:bCs/>
          <w:color w:val="000000" w:themeColor="text1"/>
          <w:sz w:val="28"/>
          <w:szCs w:val="28"/>
          <w:lang w:eastAsia="en-GB"/>
        </w:rPr>
        <w:t>charges may be waived</w:t>
      </w:r>
    </w:p>
    <w:p w14:paraId="6AA72E6E" w14:textId="77777777" w:rsidR="002F51B9" w:rsidRPr="00C33DEE" w:rsidRDefault="002F51B9" w:rsidP="002F51B9">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Style w:val="Strong"/>
          <w:rFonts w:asciiTheme="majorHAnsi" w:hAnsiTheme="majorHAnsi" w:cstheme="majorHAnsi"/>
          <w:color w:val="000000" w:themeColor="text1"/>
          <w:sz w:val="28"/>
          <w:szCs w:val="28"/>
        </w:rPr>
        <w:t>2.         Voluntary contributions</w:t>
      </w:r>
    </w:p>
    <w:p w14:paraId="2AAD20BE" w14:textId="77777777" w:rsidR="002F51B9" w:rsidRPr="00C33DEE" w:rsidRDefault="002F51B9" w:rsidP="002F51B9">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t>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w:t>
      </w:r>
    </w:p>
    <w:p w14:paraId="4ECDF509" w14:textId="77777777" w:rsidR="002F51B9" w:rsidRPr="00C33DEE" w:rsidRDefault="002F51B9" w:rsidP="002F51B9">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Style w:val="Emphasis"/>
          <w:rFonts w:asciiTheme="majorHAnsi" w:hAnsiTheme="majorHAnsi" w:cstheme="majorHAnsi"/>
          <w:b/>
          <w:bCs/>
          <w:color w:val="000000" w:themeColor="text1"/>
          <w:sz w:val="28"/>
          <w:szCs w:val="28"/>
        </w:rPr>
        <w:t>The Law says:</w:t>
      </w:r>
    </w:p>
    <w:p w14:paraId="4E3E3635" w14:textId="59F7F94E" w:rsidR="002F51B9" w:rsidRPr="00C33DEE" w:rsidRDefault="002F51B9" w:rsidP="002F51B9">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t>If the activity cannot be funded without voluntary contributions the parents will be notified of this from the outset.</w:t>
      </w:r>
    </w:p>
    <w:p w14:paraId="26543CE7" w14:textId="77777777" w:rsidR="002F51B9" w:rsidRPr="00C33DEE" w:rsidRDefault="002F51B9" w:rsidP="002F51B9">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No child will be excluded from an activity because parents are unable to pay.</w:t>
      </w:r>
    </w:p>
    <w:p w14:paraId="08B139B8" w14:textId="77777777" w:rsidR="002F51B9" w:rsidRPr="00C33DEE" w:rsidRDefault="002F51B9" w:rsidP="002F51B9">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If insufficient contributions are raised, the trip or activity may have to be cancelled.</w:t>
      </w:r>
    </w:p>
    <w:p w14:paraId="12000C7B" w14:textId="77777777" w:rsidR="002F51B9" w:rsidRPr="00C33DEE" w:rsidRDefault="002F51B9" w:rsidP="002F51B9">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If a parent is unwilling or unable to pay their child will be given an equal chance to go on the visit.</w:t>
      </w:r>
    </w:p>
    <w:p w14:paraId="26EB8CD9" w14:textId="77777777" w:rsidR="002F51B9" w:rsidRPr="00C33DEE" w:rsidRDefault="002F51B9" w:rsidP="002F51B9">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lastRenderedPageBreak/>
        <w:t>3.         No charges will be made for</w:t>
      </w:r>
    </w:p>
    <w:p w14:paraId="35872338" w14:textId="4311F613" w:rsidR="002F51B9" w:rsidRPr="00C33DEE" w:rsidRDefault="002F51B9" w:rsidP="002F51B9">
      <w:pPr>
        <w:numPr>
          <w:ilvl w:val="0"/>
          <w:numId w:val="2"/>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Education provided during school hours (including the supply of any materials, books, instruments or other equipment);</w:t>
      </w:r>
    </w:p>
    <w:p w14:paraId="54959DFA" w14:textId="77777777" w:rsidR="002F2269" w:rsidRPr="00C33DEE" w:rsidRDefault="002F2269" w:rsidP="002F2269">
      <w:pPr>
        <w:numPr>
          <w:ilvl w:val="0"/>
          <w:numId w:val="3"/>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Education provided outside school hours if it is part of the National Curriculum, or part of a syllabus for a prescribed public examination that the pupil is being prepared for at the school, or part of the school’s basic curriculum for religious education;</w:t>
      </w:r>
    </w:p>
    <w:p w14:paraId="76A2E613" w14:textId="0CE09FE1" w:rsidR="002F2269" w:rsidRPr="00C33DEE" w:rsidRDefault="002F2269" w:rsidP="002F2269">
      <w:pPr>
        <w:numPr>
          <w:ilvl w:val="0"/>
          <w:numId w:val="4"/>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Entry for a prescribed public examination, if the pupil has been prepared for it at the school*;</w:t>
      </w:r>
    </w:p>
    <w:p w14:paraId="5B9EC983" w14:textId="380E5522" w:rsidR="002F2269" w:rsidRPr="00C33DEE" w:rsidRDefault="002F2269" w:rsidP="002F2269">
      <w:pPr>
        <w:numPr>
          <w:ilvl w:val="0"/>
          <w:numId w:val="5"/>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 xml:space="preserve">Examination re-sit(s)* if the pupil is being prepared for the re-sit(s) at the </w:t>
      </w:r>
      <w:r w:rsidR="00C85EAD" w:rsidRPr="00C33DEE">
        <w:rPr>
          <w:rFonts w:asciiTheme="majorHAnsi" w:eastAsia="Times New Roman" w:hAnsiTheme="majorHAnsi" w:cstheme="majorHAnsi"/>
          <w:color w:val="000000" w:themeColor="text1"/>
          <w:sz w:val="28"/>
          <w:szCs w:val="28"/>
          <w:lang w:eastAsia="en-GB"/>
        </w:rPr>
        <w:t>school.</w:t>
      </w:r>
    </w:p>
    <w:p w14:paraId="75A59B7A" w14:textId="79469949" w:rsidR="002F2269" w:rsidRPr="00C33DEE" w:rsidRDefault="002F2269" w:rsidP="002F2269">
      <w:pPr>
        <w:numPr>
          <w:ilvl w:val="0"/>
          <w:numId w:val="6"/>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 xml:space="preserve">Education provided on any trip that takes place during school </w:t>
      </w:r>
      <w:r w:rsidR="00C85EAD" w:rsidRPr="00C33DEE">
        <w:rPr>
          <w:rFonts w:asciiTheme="majorHAnsi" w:eastAsia="Times New Roman" w:hAnsiTheme="majorHAnsi" w:cstheme="majorHAnsi"/>
          <w:color w:val="000000" w:themeColor="text1"/>
          <w:sz w:val="28"/>
          <w:szCs w:val="28"/>
          <w:lang w:eastAsia="en-GB"/>
        </w:rPr>
        <w:t>hours.</w:t>
      </w:r>
    </w:p>
    <w:p w14:paraId="6D4A7EF2" w14:textId="77777777" w:rsidR="002F2269" w:rsidRPr="00C33DEE" w:rsidRDefault="002F2269" w:rsidP="002F2269">
      <w:pPr>
        <w:numPr>
          <w:ilvl w:val="0"/>
          <w:numId w:val="6"/>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Education provided on any trip that takes place outside school hours</w:t>
      </w:r>
    </w:p>
    <w:p w14:paraId="5DF4EBD8" w14:textId="7C8AD6A5" w:rsidR="002F2269" w:rsidRPr="00C33DEE" w:rsidRDefault="002F2269" w:rsidP="002F2269">
      <w:pPr>
        <w:numPr>
          <w:ilvl w:val="1"/>
          <w:numId w:val="6"/>
        </w:numPr>
        <w:shd w:val="clear" w:color="auto" w:fill="FFFFFF"/>
        <w:spacing w:before="100" w:beforeAutospacing="1" w:after="100" w:afterAutospacing="1" w:line="240" w:lineRule="auto"/>
        <w:ind w:left="264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 xml:space="preserve">if it is part of the National </w:t>
      </w:r>
      <w:r w:rsidR="00C85EAD" w:rsidRPr="00C33DEE">
        <w:rPr>
          <w:rFonts w:asciiTheme="majorHAnsi" w:eastAsia="Times New Roman" w:hAnsiTheme="majorHAnsi" w:cstheme="majorHAnsi"/>
          <w:color w:val="000000" w:themeColor="text1"/>
          <w:sz w:val="28"/>
          <w:szCs w:val="28"/>
          <w:lang w:eastAsia="en-GB"/>
        </w:rPr>
        <w:t>Curriculum, or</w:t>
      </w:r>
    </w:p>
    <w:p w14:paraId="1808A6E5" w14:textId="77777777" w:rsidR="002F2269" w:rsidRPr="00C33DEE" w:rsidRDefault="002F2269" w:rsidP="002F2269">
      <w:pPr>
        <w:numPr>
          <w:ilvl w:val="1"/>
          <w:numId w:val="6"/>
        </w:numPr>
        <w:shd w:val="clear" w:color="auto" w:fill="FFFFFF"/>
        <w:spacing w:before="100" w:beforeAutospacing="1" w:after="100" w:afterAutospacing="1" w:line="240" w:lineRule="auto"/>
        <w:ind w:left="264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part of a syllabus for a prescribed public examination that the pupil is being prepared for at the school, or</w:t>
      </w:r>
    </w:p>
    <w:p w14:paraId="1EF76879" w14:textId="77777777" w:rsidR="002F2269" w:rsidRPr="00C33DEE" w:rsidRDefault="002F2269" w:rsidP="002F2269">
      <w:pPr>
        <w:numPr>
          <w:ilvl w:val="1"/>
          <w:numId w:val="6"/>
        </w:numPr>
        <w:shd w:val="clear" w:color="auto" w:fill="FFFFFF"/>
        <w:spacing w:before="100" w:beforeAutospacing="1" w:after="100" w:afterAutospacing="1" w:line="240" w:lineRule="auto"/>
        <w:ind w:left="264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part of the school’s basic curriculum for religious education;</w:t>
      </w:r>
    </w:p>
    <w:p w14:paraId="38011A64" w14:textId="05AD8665" w:rsidR="002F2269" w:rsidRPr="00C33DEE" w:rsidRDefault="002F2269" w:rsidP="002F2269">
      <w:pPr>
        <w:numPr>
          <w:ilvl w:val="0"/>
          <w:numId w:val="7"/>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 xml:space="preserve">Supply teachers to cover for those teachers who are absent from school accompanying pupils on a residential </w:t>
      </w:r>
      <w:r w:rsidR="00C85EAD" w:rsidRPr="00C33DEE">
        <w:rPr>
          <w:rFonts w:asciiTheme="majorHAnsi" w:eastAsia="Times New Roman" w:hAnsiTheme="majorHAnsi" w:cstheme="majorHAnsi"/>
          <w:color w:val="000000" w:themeColor="text1"/>
          <w:sz w:val="28"/>
          <w:szCs w:val="28"/>
          <w:lang w:eastAsia="en-GB"/>
        </w:rPr>
        <w:t>trip.</w:t>
      </w:r>
    </w:p>
    <w:p w14:paraId="1D5E2D0C" w14:textId="77777777" w:rsidR="002F2269" w:rsidRPr="00C33DEE" w:rsidRDefault="002F2269" w:rsidP="002F2269">
      <w:pPr>
        <w:numPr>
          <w:ilvl w:val="0"/>
          <w:numId w:val="8"/>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Transport provided in connection with an educational trip.</w:t>
      </w:r>
    </w:p>
    <w:p w14:paraId="40F2DA1C" w14:textId="6D09842A" w:rsidR="002F2269" w:rsidRPr="00C33DEE" w:rsidRDefault="002F2269" w:rsidP="002F2269">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 </w:t>
      </w:r>
      <w:r w:rsidRPr="00C33DEE">
        <w:rPr>
          <w:rFonts w:asciiTheme="majorHAnsi" w:eastAsia="Times New Roman" w:hAnsiTheme="majorHAnsi" w:cstheme="majorHAnsi"/>
          <w:color w:val="000000" w:themeColor="text1"/>
          <w:sz w:val="28"/>
          <w:szCs w:val="28"/>
          <w:lang w:eastAsia="en-GB"/>
        </w:rPr>
        <w:t>If a pupil fails, without good reason, to meet any examination requirement for a syllabus a charge will be made.</w:t>
      </w:r>
    </w:p>
    <w:p w14:paraId="2120374C" w14:textId="6D8D5599" w:rsidR="00C85EAD" w:rsidRPr="00C33DEE" w:rsidRDefault="00C85EAD" w:rsidP="002F2269">
      <w:pPr>
        <w:shd w:val="clear" w:color="auto" w:fill="FFFFFF"/>
        <w:spacing w:after="420" w:line="240" w:lineRule="auto"/>
        <w:rPr>
          <w:rStyle w:val="Strong"/>
          <w:rFonts w:asciiTheme="majorHAnsi" w:hAnsiTheme="majorHAnsi" w:cstheme="majorHAnsi"/>
          <w:color w:val="000000" w:themeColor="text1"/>
          <w:sz w:val="28"/>
          <w:szCs w:val="28"/>
          <w:shd w:val="clear" w:color="auto" w:fill="FFFFFF"/>
        </w:rPr>
      </w:pPr>
      <w:r w:rsidRPr="00C33DEE">
        <w:rPr>
          <w:rStyle w:val="Strong"/>
          <w:rFonts w:asciiTheme="majorHAnsi" w:hAnsiTheme="majorHAnsi" w:cstheme="majorHAnsi"/>
          <w:color w:val="000000" w:themeColor="text1"/>
          <w:sz w:val="28"/>
          <w:szCs w:val="28"/>
          <w:shd w:val="clear" w:color="auto" w:fill="FFFFFF"/>
        </w:rPr>
        <w:t>4.         Activities for which charges may be made</w:t>
      </w:r>
    </w:p>
    <w:p w14:paraId="25B76488" w14:textId="77777777" w:rsidR="00C85EAD" w:rsidRPr="00C33DEE" w:rsidRDefault="00C85EAD" w:rsidP="00C85EAD">
      <w:pPr>
        <w:pStyle w:val="NormalWeb"/>
        <w:shd w:val="clear" w:color="auto" w:fill="FFFFFF"/>
        <w:spacing w:before="0" w:beforeAutospacing="0" w:after="420" w:afterAutospacing="0"/>
        <w:rPr>
          <w:rFonts w:asciiTheme="majorHAnsi" w:hAnsiTheme="majorHAnsi" w:cstheme="majorHAnsi"/>
          <w:color w:val="6D6E71"/>
          <w:sz w:val="28"/>
          <w:szCs w:val="28"/>
        </w:rPr>
      </w:pPr>
      <w:r w:rsidRPr="00C33DEE">
        <w:rPr>
          <w:rStyle w:val="Strong"/>
          <w:rFonts w:asciiTheme="majorHAnsi" w:hAnsiTheme="majorHAnsi" w:cstheme="majorHAnsi"/>
          <w:color w:val="6D6E71"/>
          <w:sz w:val="28"/>
          <w:szCs w:val="28"/>
        </w:rPr>
        <w:t>a) Activities outside school hours</w:t>
      </w:r>
    </w:p>
    <w:p w14:paraId="07988D60" w14:textId="77777777" w:rsidR="00C85EAD" w:rsidRPr="00C33DEE" w:rsidRDefault="00C85EAD" w:rsidP="00C85EAD">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t>Non-residential activities (other than those listed in 3 above) which take place outside school hours but only if the majority of the time spent on that activity takes place outside school hours(time spent on travel counts in this calculation if the travel itself occurs during school hours).</w:t>
      </w:r>
    </w:p>
    <w:p w14:paraId="027458CC" w14:textId="77777777" w:rsidR="00C85EAD" w:rsidRPr="00C33DEE" w:rsidRDefault="00C85EAD" w:rsidP="00C85EAD">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Style w:val="Strong"/>
          <w:rFonts w:asciiTheme="majorHAnsi" w:hAnsiTheme="majorHAnsi" w:cstheme="majorHAnsi"/>
          <w:color w:val="000000" w:themeColor="text1"/>
          <w:sz w:val="28"/>
          <w:szCs w:val="28"/>
        </w:rPr>
        <w:t>b) Residential activities</w:t>
      </w:r>
    </w:p>
    <w:p w14:paraId="447F3112" w14:textId="22CDB712" w:rsidR="00C85EAD" w:rsidRPr="00C33DEE" w:rsidRDefault="00C85EAD" w:rsidP="00C85EAD">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lastRenderedPageBreak/>
        <w:t>Board and lodging costs (but only those costs) of residential trips deemed to take place during school time, however pupils whose parents are in receipt of certain benefits (see remissions policy below) may not be charged for board and lodging costs</w:t>
      </w:r>
    </w:p>
    <w:p w14:paraId="5E8A6AC3" w14:textId="4222FE98" w:rsidR="00C85EAD" w:rsidRPr="00C33DEE" w:rsidRDefault="00C85EAD" w:rsidP="00C85EAD">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t>Residential trips deemed to take place outside school time (other than for those activities listed in 3 above).</w:t>
      </w:r>
    </w:p>
    <w:p w14:paraId="40FD99D0" w14:textId="77777777" w:rsidR="006E40AC" w:rsidRPr="00C33DEE" w:rsidRDefault="006E40AC" w:rsidP="006E40A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Style w:val="Strong"/>
          <w:rFonts w:asciiTheme="majorHAnsi" w:hAnsiTheme="majorHAnsi" w:cstheme="majorHAnsi"/>
          <w:color w:val="000000" w:themeColor="text1"/>
          <w:sz w:val="28"/>
          <w:szCs w:val="28"/>
        </w:rPr>
        <w:t>Is a residential trip in or out of school time?</w:t>
      </w:r>
    </w:p>
    <w:p w14:paraId="5C02A0B2" w14:textId="77777777" w:rsidR="006E40AC" w:rsidRPr="00C33DEE" w:rsidRDefault="006E40AC" w:rsidP="006E40A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t>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w:t>
      </w:r>
    </w:p>
    <w:p w14:paraId="6BDBA839" w14:textId="77777777" w:rsidR="006E40AC" w:rsidRPr="00C33DEE" w:rsidRDefault="006E40AC" w:rsidP="006E40A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Style w:val="Strong"/>
          <w:rFonts w:asciiTheme="majorHAnsi" w:hAnsiTheme="majorHAnsi" w:cstheme="majorHAnsi"/>
          <w:color w:val="000000" w:themeColor="text1"/>
          <w:sz w:val="28"/>
          <w:szCs w:val="28"/>
        </w:rPr>
        <w:t>It is the policy of our schools that charges will (or may) be made as indicated below. Parental agreement will be obtained before a charge is made.</w:t>
      </w:r>
    </w:p>
    <w:p w14:paraId="6219C408" w14:textId="43DB4065" w:rsidR="00C85EAD" w:rsidRDefault="006E40AC" w:rsidP="002F2269">
      <w:pPr>
        <w:shd w:val="clear" w:color="auto" w:fill="FFFFFF"/>
        <w:spacing w:after="420" w:line="240" w:lineRule="auto"/>
        <w:rPr>
          <w:rFonts w:asciiTheme="majorHAnsi" w:hAnsiTheme="majorHAnsi" w:cstheme="majorHAnsi"/>
          <w:color w:val="000000" w:themeColor="text1"/>
          <w:sz w:val="28"/>
          <w:szCs w:val="28"/>
          <w:shd w:val="clear" w:color="auto" w:fill="FFFFFF"/>
        </w:rPr>
      </w:pPr>
      <w:r w:rsidRPr="00C33DEE">
        <w:rPr>
          <w:rFonts w:asciiTheme="majorHAnsi" w:hAnsiTheme="majorHAnsi" w:cstheme="majorHAnsi"/>
          <w:color w:val="000000" w:themeColor="text1"/>
          <w:sz w:val="28"/>
          <w:szCs w:val="28"/>
          <w:shd w:val="clear" w:color="auto" w:fill="FFFFFF"/>
        </w:rPr>
        <w:t>Activities which can be charged for (with the exception of board and lodging for residential trips) are regarded as ‘optional extras. Charges will not exceed the actual cost (per pupil) of provision.</w:t>
      </w:r>
    </w:p>
    <w:p w14:paraId="4D424BAA" w14:textId="035DA4F5" w:rsidR="00C33DEE" w:rsidRDefault="00C33DEE" w:rsidP="002F2269">
      <w:pPr>
        <w:shd w:val="clear" w:color="auto" w:fill="FFFFFF"/>
        <w:spacing w:after="420" w:line="240" w:lineRule="auto"/>
        <w:rPr>
          <w:rFonts w:asciiTheme="majorHAnsi" w:hAnsiTheme="majorHAnsi" w:cstheme="majorHAnsi"/>
          <w:color w:val="000000" w:themeColor="text1"/>
          <w:sz w:val="28"/>
          <w:szCs w:val="28"/>
          <w:shd w:val="clear" w:color="auto" w:fill="FFFFFF"/>
        </w:rPr>
      </w:pPr>
    </w:p>
    <w:p w14:paraId="3A8E0992" w14:textId="7611F336" w:rsidR="00C33DEE" w:rsidRDefault="00C33DEE" w:rsidP="002F2269">
      <w:pPr>
        <w:shd w:val="clear" w:color="auto" w:fill="FFFFFF"/>
        <w:spacing w:after="420" w:line="240" w:lineRule="auto"/>
        <w:rPr>
          <w:rFonts w:asciiTheme="majorHAnsi" w:hAnsiTheme="majorHAnsi" w:cstheme="majorHAnsi"/>
          <w:color w:val="000000" w:themeColor="text1"/>
          <w:sz w:val="28"/>
          <w:szCs w:val="28"/>
          <w:shd w:val="clear" w:color="auto" w:fill="FFFFFF"/>
        </w:rPr>
      </w:pPr>
    </w:p>
    <w:p w14:paraId="29AC6245" w14:textId="5542AA16" w:rsidR="00C33DEE" w:rsidRDefault="00C33DEE" w:rsidP="002F2269">
      <w:pPr>
        <w:shd w:val="clear" w:color="auto" w:fill="FFFFFF"/>
        <w:spacing w:after="420" w:line="240" w:lineRule="auto"/>
        <w:rPr>
          <w:rFonts w:asciiTheme="majorHAnsi" w:hAnsiTheme="majorHAnsi" w:cstheme="majorHAnsi"/>
          <w:color w:val="000000" w:themeColor="text1"/>
          <w:sz w:val="28"/>
          <w:szCs w:val="28"/>
          <w:shd w:val="clear" w:color="auto" w:fill="FFFFFF"/>
        </w:rPr>
      </w:pPr>
    </w:p>
    <w:p w14:paraId="7983F098" w14:textId="55B1F8EB" w:rsidR="00C33DEE" w:rsidRDefault="00C33DEE" w:rsidP="002F2269">
      <w:pPr>
        <w:shd w:val="clear" w:color="auto" w:fill="FFFFFF"/>
        <w:spacing w:after="420" w:line="240" w:lineRule="auto"/>
        <w:rPr>
          <w:rFonts w:asciiTheme="majorHAnsi" w:hAnsiTheme="majorHAnsi" w:cstheme="majorHAnsi"/>
          <w:color w:val="000000" w:themeColor="text1"/>
          <w:sz w:val="28"/>
          <w:szCs w:val="28"/>
          <w:shd w:val="clear" w:color="auto" w:fill="FFFFFF"/>
        </w:rPr>
      </w:pPr>
    </w:p>
    <w:p w14:paraId="27A73965" w14:textId="5551B25B" w:rsidR="00C33DEE" w:rsidRDefault="00C33DEE" w:rsidP="002F2269">
      <w:pPr>
        <w:shd w:val="clear" w:color="auto" w:fill="FFFFFF"/>
        <w:spacing w:after="420" w:line="240" w:lineRule="auto"/>
        <w:rPr>
          <w:rFonts w:asciiTheme="majorHAnsi" w:hAnsiTheme="majorHAnsi" w:cstheme="majorHAnsi"/>
          <w:color w:val="000000" w:themeColor="text1"/>
          <w:sz w:val="28"/>
          <w:szCs w:val="28"/>
          <w:shd w:val="clear" w:color="auto" w:fill="FFFFFF"/>
        </w:rPr>
      </w:pPr>
    </w:p>
    <w:p w14:paraId="3A341EA8" w14:textId="7C88E573" w:rsidR="00C33DEE" w:rsidRDefault="00C33DEE" w:rsidP="002F2269">
      <w:pPr>
        <w:shd w:val="clear" w:color="auto" w:fill="FFFFFF"/>
        <w:spacing w:after="420" w:line="240" w:lineRule="auto"/>
        <w:rPr>
          <w:rFonts w:asciiTheme="majorHAnsi" w:hAnsiTheme="majorHAnsi" w:cstheme="majorHAnsi"/>
          <w:color w:val="000000" w:themeColor="text1"/>
          <w:sz w:val="28"/>
          <w:szCs w:val="28"/>
          <w:shd w:val="clear" w:color="auto" w:fill="FFFFFF"/>
        </w:rPr>
      </w:pPr>
    </w:p>
    <w:tbl>
      <w:tblPr>
        <w:tblStyle w:val="TableGrid"/>
        <w:tblW w:w="10060" w:type="dxa"/>
        <w:tblLook w:val="04A0" w:firstRow="1" w:lastRow="0" w:firstColumn="1" w:lastColumn="0" w:noHBand="0" w:noVBand="1"/>
      </w:tblPr>
      <w:tblGrid>
        <w:gridCol w:w="10507"/>
      </w:tblGrid>
      <w:tr w:rsidR="00C33DEE" w14:paraId="0450E38A" w14:textId="77777777" w:rsidTr="00C33DEE">
        <w:tc>
          <w:tcPr>
            <w:tcW w:w="10060" w:type="dxa"/>
          </w:tcPr>
          <w:tbl>
            <w:tblPr>
              <w:tblW w:w="102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54"/>
              <w:gridCol w:w="2874"/>
              <w:gridCol w:w="2747"/>
            </w:tblGrid>
            <w:tr w:rsidR="00C33DEE" w:rsidRPr="00C33DEE" w14:paraId="614646A5" w14:textId="77777777" w:rsidTr="00DE5864">
              <w:trPr>
                <w:tblHeader/>
              </w:trPr>
              <w:tc>
                <w:tcPr>
                  <w:tcW w:w="0" w:type="auto"/>
                  <w:tcBorders>
                    <w:top w:val="nil"/>
                    <w:left w:val="single" w:sz="6" w:space="0" w:color="DDDDDD"/>
                    <w:bottom w:val="single" w:sz="12" w:space="0" w:color="DDDDDD"/>
                    <w:right w:val="single" w:sz="6" w:space="0" w:color="DDDDDD"/>
                  </w:tcBorders>
                  <w:shd w:val="clear" w:color="auto" w:fill="auto"/>
                  <w:tcMar>
                    <w:top w:w="223" w:type="dxa"/>
                    <w:left w:w="188" w:type="dxa"/>
                    <w:bottom w:w="223" w:type="dxa"/>
                    <w:right w:w="188" w:type="dxa"/>
                  </w:tcMar>
                  <w:vAlign w:val="center"/>
                  <w:hideMark/>
                </w:tcPr>
                <w:p w14:paraId="31B2C6D7"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lastRenderedPageBreak/>
                    <w:t>Activity or thing which will or may be charged for</w:t>
                  </w:r>
                </w:p>
              </w:tc>
              <w:tc>
                <w:tcPr>
                  <w:tcW w:w="0" w:type="auto"/>
                  <w:tcBorders>
                    <w:top w:val="nil"/>
                    <w:left w:val="single" w:sz="6" w:space="0" w:color="DDDDDD"/>
                    <w:bottom w:val="single" w:sz="12" w:space="0" w:color="DDDDDD"/>
                    <w:right w:val="single" w:sz="6" w:space="0" w:color="DDDDDD"/>
                  </w:tcBorders>
                  <w:shd w:val="clear" w:color="auto" w:fill="auto"/>
                  <w:tcMar>
                    <w:top w:w="223" w:type="dxa"/>
                    <w:left w:w="188" w:type="dxa"/>
                    <w:bottom w:w="223" w:type="dxa"/>
                    <w:right w:w="188" w:type="dxa"/>
                  </w:tcMar>
                  <w:vAlign w:val="center"/>
                  <w:hideMark/>
                </w:tcPr>
                <w:p w14:paraId="3282FF6C"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Notes</w:t>
                  </w:r>
                </w:p>
              </w:tc>
              <w:tc>
                <w:tcPr>
                  <w:tcW w:w="0" w:type="auto"/>
                  <w:tcBorders>
                    <w:top w:val="nil"/>
                    <w:left w:val="single" w:sz="6" w:space="0" w:color="DDDDDD"/>
                    <w:bottom w:val="single" w:sz="12" w:space="0" w:color="DDDDDD"/>
                    <w:right w:val="single" w:sz="6" w:space="0" w:color="DDDDDD"/>
                  </w:tcBorders>
                  <w:shd w:val="clear" w:color="auto" w:fill="auto"/>
                  <w:tcMar>
                    <w:top w:w="223" w:type="dxa"/>
                    <w:left w:w="188" w:type="dxa"/>
                    <w:bottom w:w="223" w:type="dxa"/>
                    <w:right w:w="188" w:type="dxa"/>
                  </w:tcMar>
                  <w:vAlign w:val="center"/>
                  <w:hideMark/>
                </w:tcPr>
                <w:p w14:paraId="668D997D"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Remitted or help available (enter your school decision here).</w:t>
                  </w:r>
                </w:p>
              </w:tc>
            </w:tr>
            <w:tr w:rsidR="00C33DEE" w:rsidRPr="00C33DEE" w14:paraId="7DBB65CB" w14:textId="77777777" w:rsidTr="00DE586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01119E8"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Charges will be made for the board and lodging component of residential trips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B1BBDB0"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The charge will not exceed the actual cost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248CBB3"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Remission for category A / B (see below)</w:t>
                  </w:r>
                </w:p>
              </w:tc>
            </w:tr>
            <w:tr w:rsidR="00C33DEE" w:rsidRPr="00C33DEE" w14:paraId="3EDFF5F1" w14:textId="77777777" w:rsidTr="00DE586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93D1FCC"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Day Visits / Trips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8F9A31C"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Requests for voluntary contributions will be made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BF34661"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Remission for category A / B (see below)</w:t>
                  </w:r>
                </w:p>
              </w:tc>
            </w:tr>
            <w:tr w:rsidR="00C33DEE" w:rsidRPr="00C33DEE" w14:paraId="4F1745C6" w14:textId="77777777" w:rsidTr="00DE586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0EAFE63"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Charges will/may be made for any materials, books, instruments, or equipment, where a parent wishes their child to own them;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22DDBA7" w14:textId="7D8950EE"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E.g. A clay model – a charge to cover the cost of the clay.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4507EA4"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p>
              </w:tc>
            </w:tr>
            <w:tr w:rsidR="00C33DEE" w:rsidRPr="00C33DEE" w14:paraId="0AC37376" w14:textId="77777777" w:rsidTr="00DE586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ADCA1DC"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Child care by attendance at the school Breakfast Club and / or After School Club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D3A421A"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F06965F" w14:textId="77777777" w:rsidR="00C33DEE" w:rsidRPr="00C33DEE" w:rsidRDefault="00C33DEE" w:rsidP="00DE5864">
                  <w:pPr>
                    <w:spacing w:after="300" w:line="240" w:lineRule="auto"/>
                    <w:rPr>
                      <w:rFonts w:asciiTheme="majorHAnsi" w:eastAsia="Times New Roman" w:hAnsiTheme="majorHAnsi" w:cstheme="majorHAnsi"/>
                      <w:sz w:val="28"/>
                      <w:szCs w:val="28"/>
                      <w:lang w:eastAsia="en-GB"/>
                    </w:rPr>
                  </w:pPr>
                  <w:r w:rsidRPr="00C33DEE">
                    <w:rPr>
                      <w:rFonts w:asciiTheme="majorHAnsi" w:eastAsia="Times New Roman" w:hAnsiTheme="majorHAnsi" w:cstheme="majorHAnsi"/>
                      <w:sz w:val="28"/>
                      <w:szCs w:val="28"/>
                      <w:lang w:eastAsia="en-GB"/>
                    </w:rPr>
                    <w:t>Remission for category A (see below)</w:t>
                  </w:r>
                </w:p>
              </w:tc>
            </w:tr>
          </w:tbl>
          <w:p w14:paraId="07312B25" w14:textId="77777777" w:rsidR="00C33DEE" w:rsidRDefault="00C33DEE"/>
        </w:tc>
      </w:tr>
    </w:tbl>
    <w:p w14:paraId="5218B220" w14:textId="0FC3C111" w:rsidR="006E40AC" w:rsidRPr="00C33DEE" w:rsidRDefault="006E40AC" w:rsidP="002F2269">
      <w:pPr>
        <w:shd w:val="clear" w:color="auto" w:fill="FFFFFF"/>
        <w:spacing w:after="420" w:line="240" w:lineRule="auto"/>
        <w:rPr>
          <w:rFonts w:asciiTheme="majorHAnsi" w:eastAsia="Times New Roman" w:hAnsiTheme="majorHAnsi" w:cstheme="majorHAnsi"/>
          <w:color w:val="000000" w:themeColor="text1"/>
          <w:sz w:val="28"/>
          <w:szCs w:val="28"/>
          <w:lang w:eastAsia="en-GB"/>
        </w:rPr>
      </w:pPr>
    </w:p>
    <w:p w14:paraId="1981A292" w14:textId="77777777" w:rsidR="00C423CC" w:rsidRPr="00C33DEE" w:rsidRDefault="00C423CC" w:rsidP="00C423C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Style w:val="Strong"/>
          <w:rFonts w:asciiTheme="majorHAnsi" w:hAnsiTheme="majorHAnsi" w:cstheme="majorHAnsi"/>
          <w:color w:val="000000" w:themeColor="text1"/>
          <w:sz w:val="28"/>
          <w:szCs w:val="28"/>
        </w:rPr>
        <w:t>5.         Remissions</w:t>
      </w:r>
    </w:p>
    <w:p w14:paraId="1D4683CC" w14:textId="01091776" w:rsidR="00C423CC" w:rsidRDefault="00C423CC" w:rsidP="00C423C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t>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w:t>
      </w:r>
    </w:p>
    <w:p w14:paraId="54D5B7A6" w14:textId="77777777" w:rsidR="00C33DEE" w:rsidRDefault="00C33DEE" w:rsidP="00C423C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p>
    <w:p w14:paraId="47C615FD" w14:textId="15467563" w:rsidR="00C33DEE" w:rsidRDefault="00C33DEE" w:rsidP="00C423C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p>
    <w:p w14:paraId="4B120EB6" w14:textId="77777777" w:rsidR="00C33DEE" w:rsidRPr="00C33DEE" w:rsidRDefault="00C33DEE" w:rsidP="00C423C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p>
    <w:p w14:paraId="62CD79EF" w14:textId="487183E9" w:rsidR="00C423CC" w:rsidRDefault="00C423CC" w:rsidP="00C423CC">
      <w:pPr>
        <w:pStyle w:val="NormalWeb"/>
        <w:shd w:val="clear" w:color="auto" w:fill="FFFFFF"/>
        <w:spacing w:before="0" w:beforeAutospacing="0" w:after="420" w:afterAutospacing="0"/>
        <w:rPr>
          <w:rStyle w:val="Strong"/>
          <w:rFonts w:asciiTheme="majorHAnsi" w:hAnsiTheme="majorHAnsi" w:cstheme="majorHAnsi"/>
          <w:color w:val="000000" w:themeColor="text1"/>
          <w:sz w:val="28"/>
          <w:szCs w:val="28"/>
        </w:rPr>
      </w:pPr>
      <w:r w:rsidRPr="00C33DEE">
        <w:rPr>
          <w:rStyle w:val="Strong"/>
          <w:rFonts w:asciiTheme="majorHAnsi" w:hAnsiTheme="majorHAnsi" w:cstheme="majorHAnsi"/>
          <w:color w:val="000000" w:themeColor="text1"/>
          <w:sz w:val="28"/>
          <w:szCs w:val="28"/>
        </w:rPr>
        <w:lastRenderedPageBreak/>
        <w:t>6.         Families qualifying for remission or help with charges.</w:t>
      </w:r>
    </w:p>
    <w:p w14:paraId="7FCBB77D" w14:textId="11239EE3" w:rsidR="00C423CC" w:rsidRPr="00C33DEE" w:rsidRDefault="00C423CC" w:rsidP="00C423CC">
      <w:pPr>
        <w:pStyle w:val="NormalWeb"/>
        <w:shd w:val="clear" w:color="auto" w:fill="FFFFFF"/>
        <w:spacing w:before="0" w:beforeAutospacing="0" w:after="420" w:afterAutospacing="0"/>
        <w:rPr>
          <w:rFonts w:asciiTheme="majorHAnsi" w:hAnsiTheme="majorHAnsi" w:cstheme="majorHAnsi"/>
          <w:color w:val="000000" w:themeColor="text1"/>
          <w:sz w:val="28"/>
          <w:szCs w:val="28"/>
        </w:rPr>
      </w:pPr>
      <w:r w:rsidRPr="00C33DEE">
        <w:rPr>
          <w:rFonts w:asciiTheme="majorHAnsi" w:hAnsiTheme="majorHAnsi" w:cstheme="majorHAnsi"/>
          <w:color w:val="000000" w:themeColor="text1"/>
          <w:sz w:val="28"/>
          <w:szCs w:val="28"/>
        </w:rPr>
        <w:t xml:space="preserve">If remission or help is available in relation to a particular charge it is indicated in the </w:t>
      </w:r>
      <w:r w:rsidR="003F1626" w:rsidRPr="00C33DEE">
        <w:rPr>
          <w:rFonts w:asciiTheme="majorHAnsi" w:hAnsiTheme="majorHAnsi" w:cstheme="majorHAnsi"/>
          <w:color w:val="000000" w:themeColor="text1"/>
          <w:sz w:val="28"/>
          <w:szCs w:val="28"/>
        </w:rPr>
        <w:t>right-hand</w:t>
      </w:r>
      <w:r w:rsidRPr="00C33DEE">
        <w:rPr>
          <w:rFonts w:asciiTheme="majorHAnsi" w:hAnsiTheme="majorHAnsi" w:cstheme="majorHAnsi"/>
          <w:color w:val="000000" w:themeColor="text1"/>
          <w:sz w:val="28"/>
          <w:szCs w:val="28"/>
        </w:rPr>
        <w:t xml:space="preserve"> column of the table above. Criteria for qualification for remission are given below.</w:t>
      </w:r>
    </w:p>
    <w:p w14:paraId="39C93B54" w14:textId="77777777" w:rsidR="00C423CC" w:rsidRPr="00C33DEE" w:rsidRDefault="00C423CC" w:rsidP="00C423CC">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Category A</w:t>
      </w:r>
    </w:p>
    <w:p w14:paraId="77F5D1B7" w14:textId="4ED8FE88" w:rsidR="00C423CC" w:rsidRPr="00C33DEE" w:rsidRDefault="00C423CC" w:rsidP="00C33DEE">
      <w:pPr>
        <w:shd w:val="clear" w:color="auto" w:fill="FFFFFF"/>
        <w:tabs>
          <w:tab w:val="right" w:pos="9026"/>
        </w:tabs>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Parents in receipt of</w:t>
      </w:r>
      <w:r w:rsidR="00C33DEE">
        <w:rPr>
          <w:rFonts w:asciiTheme="majorHAnsi" w:eastAsia="Times New Roman" w:hAnsiTheme="majorHAnsi" w:cstheme="majorHAnsi"/>
          <w:color w:val="000000" w:themeColor="text1"/>
          <w:sz w:val="28"/>
          <w:szCs w:val="28"/>
          <w:lang w:eastAsia="en-GB"/>
        </w:rPr>
        <w:tab/>
      </w:r>
    </w:p>
    <w:p w14:paraId="2C7B4F45" w14:textId="77777777" w:rsidR="00C423CC" w:rsidRPr="00C33DEE" w:rsidRDefault="00C423CC" w:rsidP="00C423CC">
      <w:pPr>
        <w:numPr>
          <w:ilvl w:val="0"/>
          <w:numId w:val="9"/>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Income Support</w:t>
      </w:r>
    </w:p>
    <w:p w14:paraId="119CD23A" w14:textId="77777777" w:rsidR="00C423CC" w:rsidRPr="00C33DEE" w:rsidRDefault="00C423CC" w:rsidP="00C423CC">
      <w:pPr>
        <w:numPr>
          <w:ilvl w:val="0"/>
          <w:numId w:val="9"/>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Income-based Jobseekers Allowance</w:t>
      </w:r>
    </w:p>
    <w:p w14:paraId="4839AB79" w14:textId="77777777" w:rsidR="00C423CC" w:rsidRPr="00C33DEE" w:rsidRDefault="00C423CC" w:rsidP="00C423CC">
      <w:pPr>
        <w:numPr>
          <w:ilvl w:val="0"/>
          <w:numId w:val="10"/>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Support under part VI of the Immigration and Asylum Act 1999</w:t>
      </w:r>
    </w:p>
    <w:p w14:paraId="677427D5" w14:textId="77777777" w:rsidR="00C423CC" w:rsidRPr="00C33DEE" w:rsidRDefault="00C423CC" w:rsidP="00C423CC">
      <w:pPr>
        <w:numPr>
          <w:ilvl w:val="0"/>
          <w:numId w:val="11"/>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Child Tax Credit, provided that Working Tax Credit is not also received and the family’s income (as assessed by the Inland Revenue) does not exceed £16,190</w:t>
      </w:r>
    </w:p>
    <w:p w14:paraId="6E28FF47" w14:textId="77777777" w:rsidR="00C423CC" w:rsidRPr="00C33DEE" w:rsidRDefault="00C423CC" w:rsidP="00C423CC">
      <w:pPr>
        <w:numPr>
          <w:ilvl w:val="0"/>
          <w:numId w:val="11"/>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Guaranteed element of State Pension Credit</w:t>
      </w:r>
    </w:p>
    <w:p w14:paraId="35D62C06" w14:textId="77777777" w:rsidR="00C423CC" w:rsidRPr="00C33DEE" w:rsidRDefault="00C423CC" w:rsidP="00C423CC">
      <w:pPr>
        <w:numPr>
          <w:ilvl w:val="0"/>
          <w:numId w:val="11"/>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Working Tax Credit run – on eligibility</w:t>
      </w:r>
    </w:p>
    <w:p w14:paraId="7463A4F0" w14:textId="27E1B48D" w:rsidR="00C423CC" w:rsidRPr="00C33DEE" w:rsidRDefault="00C423CC" w:rsidP="00C423CC">
      <w:pPr>
        <w:numPr>
          <w:ilvl w:val="0"/>
          <w:numId w:val="11"/>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Universal Credit</w:t>
      </w:r>
    </w:p>
    <w:p w14:paraId="18FBF4B7" w14:textId="39EDC7F9" w:rsidR="00C423CC" w:rsidRPr="00C33DEE" w:rsidRDefault="00C423CC" w:rsidP="00C423CC">
      <w:pPr>
        <w:numPr>
          <w:ilvl w:val="0"/>
          <w:numId w:val="11"/>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Further qualification</w:t>
      </w:r>
    </w:p>
    <w:p w14:paraId="14E7C9BB" w14:textId="77777777" w:rsidR="00C423CC" w:rsidRPr="00C33DEE" w:rsidRDefault="00C423CC" w:rsidP="00C423CC">
      <w:pPr>
        <w:numPr>
          <w:ilvl w:val="0"/>
          <w:numId w:val="11"/>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Children for whom the school receives Pupil Premium funding</w:t>
      </w:r>
    </w:p>
    <w:p w14:paraId="1B32B5B8" w14:textId="77777777" w:rsidR="00C423CC" w:rsidRPr="00C33DEE" w:rsidRDefault="00C423CC" w:rsidP="00C423CC">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Additional categories of parents may claim help with some costs in the following circumstances:</w:t>
      </w:r>
    </w:p>
    <w:p w14:paraId="116A52F0" w14:textId="77777777" w:rsidR="003F1626" w:rsidRPr="00C33DEE" w:rsidRDefault="003F1626" w:rsidP="003F1626">
      <w:pPr>
        <w:shd w:val="clear" w:color="auto" w:fill="FFFFFF"/>
        <w:spacing w:after="420" w:line="240" w:lineRule="auto"/>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b/>
          <w:bCs/>
          <w:color w:val="000000" w:themeColor="text1"/>
          <w:sz w:val="28"/>
          <w:szCs w:val="28"/>
          <w:lang w:eastAsia="en-GB"/>
        </w:rPr>
        <w:t>Category B</w:t>
      </w:r>
    </w:p>
    <w:p w14:paraId="36FC86A6" w14:textId="0A2A1299" w:rsidR="003F1626" w:rsidRPr="00C33DEE" w:rsidRDefault="003F1626" w:rsidP="003F1626">
      <w:pPr>
        <w:numPr>
          <w:ilvl w:val="0"/>
          <w:numId w:val="13"/>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Families not in receipt of the benefits listed in Category A above, but who nonetheless feel unwilling or unable to pay due to financial constraints. Parents in this category should discuss their concerns about charges with the Headteacher. Decisions about remission will be made on a case-by-case basis.</w:t>
      </w:r>
    </w:p>
    <w:p w14:paraId="10C65065" w14:textId="77777777" w:rsidR="003F1626" w:rsidRPr="00C33DEE" w:rsidRDefault="003F1626" w:rsidP="003F1626">
      <w:pPr>
        <w:numPr>
          <w:ilvl w:val="0"/>
          <w:numId w:val="13"/>
        </w:num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r w:rsidRPr="00C33DEE">
        <w:rPr>
          <w:rFonts w:asciiTheme="majorHAnsi" w:eastAsia="Times New Roman" w:hAnsiTheme="majorHAnsi" w:cstheme="majorHAnsi"/>
          <w:color w:val="000000" w:themeColor="text1"/>
          <w:sz w:val="28"/>
          <w:szCs w:val="28"/>
          <w:lang w:eastAsia="en-GB"/>
        </w:rPr>
        <w:t>Examples of families in this category would include those families with more than two children incurring simultaneous charges for school activities.</w:t>
      </w:r>
    </w:p>
    <w:p w14:paraId="18D851A7" w14:textId="77777777" w:rsidR="00C423CC" w:rsidRPr="00C33DEE" w:rsidRDefault="00C423CC" w:rsidP="00C423CC">
      <w:pPr>
        <w:shd w:val="clear" w:color="auto" w:fill="FFFFFF"/>
        <w:spacing w:before="100" w:beforeAutospacing="1" w:after="100" w:afterAutospacing="1" w:line="240" w:lineRule="auto"/>
        <w:ind w:left="1320"/>
        <w:rPr>
          <w:rFonts w:asciiTheme="majorHAnsi" w:eastAsia="Times New Roman" w:hAnsiTheme="majorHAnsi" w:cstheme="majorHAnsi"/>
          <w:color w:val="000000" w:themeColor="text1"/>
          <w:sz w:val="28"/>
          <w:szCs w:val="28"/>
          <w:lang w:eastAsia="en-GB"/>
        </w:rPr>
      </w:pPr>
    </w:p>
    <w:sectPr w:rsidR="00C423CC" w:rsidRPr="00C33DEE" w:rsidSect="00C33DEE">
      <w:pgSz w:w="11906" w:h="16838"/>
      <w:pgMar w:top="993"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39E"/>
    <w:multiLevelType w:val="multilevel"/>
    <w:tmpl w:val="4FD4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C476F"/>
    <w:multiLevelType w:val="multilevel"/>
    <w:tmpl w:val="56B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C78D9"/>
    <w:multiLevelType w:val="multilevel"/>
    <w:tmpl w:val="EEAC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B6878"/>
    <w:multiLevelType w:val="multilevel"/>
    <w:tmpl w:val="0BC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95537"/>
    <w:multiLevelType w:val="multilevel"/>
    <w:tmpl w:val="E66C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33892"/>
    <w:multiLevelType w:val="multilevel"/>
    <w:tmpl w:val="F8C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149C1"/>
    <w:multiLevelType w:val="multilevel"/>
    <w:tmpl w:val="770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54957"/>
    <w:multiLevelType w:val="multilevel"/>
    <w:tmpl w:val="C4E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07B9C"/>
    <w:multiLevelType w:val="multilevel"/>
    <w:tmpl w:val="C31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B0C00"/>
    <w:multiLevelType w:val="multilevel"/>
    <w:tmpl w:val="2432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04FBC"/>
    <w:multiLevelType w:val="multilevel"/>
    <w:tmpl w:val="304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17B88"/>
    <w:multiLevelType w:val="multilevel"/>
    <w:tmpl w:val="A2145EC8"/>
    <w:lvl w:ilvl="0">
      <w:start w:val="1"/>
      <w:numFmt w:val="bullet"/>
      <w:lvlText w:val=""/>
      <w:lvlJc w:val="left"/>
      <w:pPr>
        <w:tabs>
          <w:tab w:val="num" w:pos="0"/>
        </w:tabs>
        <w:ind w:left="0" w:hanging="360"/>
      </w:pPr>
      <w:rPr>
        <w:rFonts w:ascii="Symbol" w:hAnsi="Symbol" w:hint="default"/>
        <w:sz w:val="20"/>
      </w:rPr>
    </w:lvl>
    <w:lvl w:ilvl="1">
      <w:start w:val="1"/>
      <w:numFmt w:val="decimal"/>
      <w:lvlText w:val="%2."/>
      <w:lvlJc w:val="left"/>
      <w:pPr>
        <w:tabs>
          <w:tab w:val="num" w:pos="720"/>
        </w:tabs>
        <w:ind w:left="720" w:hanging="360"/>
      </w:p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7E125992"/>
    <w:multiLevelType w:val="multilevel"/>
    <w:tmpl w:val="FC52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
  </w:num>
  <w:num w:numId="4">
    <w:abstractNumId w:val="9"/>
  </w:num>
  <w:num w:numId="5">
    <w:abstractNumId w:val="0"/>
  </w:num>
  <w:num w:numId="6">
    <w:abstractNumId w:val="11"/>
  </w:num>
  <w:num w:numId="7">
    <w:abstractNumId w:val="6"/>
  </w:num>
  <w:num w:numId="8">
    <w:abstractNumId w:val="5"/>
  </w:num>
  <w:num w:numId="9">
    <w:abstractNumId w:val="10"/>
  </w:num>
  <w:num w:numId="10">
    <w:abstractNumId w:val="3"/>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8F"/>
    <w:rsid w:val="002F2269"/>
    <w:rsid w:val="002F51B9"/>
    <w:rsid w:val="003F1626"/>
    <w:rsid w:val="0041378F"/>
    <w:rsid w:val="006E40AC"/>
    <w:rsid w:val="009B5D4C"/>
    <w:rsid w:val="00C33DEE"/>
    <w:rsid w:val="00C42068"/>
    <w:rsid w:val="00C423CC"/>
    <w:rsid w:val="00C85EAD"/>
    <w:rsid w:val="00FB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6FBE"/>
  <w15:chartTrackingRefBased/>
  <w15:docId w15:val="{6A7D750F-B97D-47EE-8CD4-3B1EEC8F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51B9"/>
    <w:rPr>
      <w:b/>
      <w:bCs/>
    </w:rPr>
  </w:style>
  <w:style w:type="character" w:styleId="Emphasis">
    <w:name w:val="Emphasis"/>
    <w:basedOn w:val="DefaultParagraphFont"/>
    <w:uiPriority w:val="20"/>
    <w:qFormat/>
    <w:rsid w:val="002F51B9"/>
    <w:rPr>
      <w:i/>
      <w:iCs/>
    </w:rPr>
  </w:style>
  <w:style w:type="table" w:styleId="TableGrid">
    <w:name w:val="Table Grid"/>
    <w:basedOn w:val="TableNormal"/>
    <w:uiPriority w:val="39"/>
    <w:rsid w:val="00C3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5423">
      <w:bodyDiv w:val="1"/>
      <w:marLeft w:val="0"/>
      <w:marRight w:val="0"/>
      <w:marTop w:val="0"/>
      <w:marBottom w:val="0"/>
      <w:divBdr>
        <w:top w:val="none" w:sz="0" w:space="0" w:color="auto"/>
        <w:left w:val="none" w:sz="0" w:space="0" w:color="auto"/>
        <w:bottom w:val="none" w:sz="0" w:space="0" w:color="auto"/>
        <w:right w:val="none" w:sz="0" w:space="0" w:color="auto"/>
      </w:divBdr>
    </w:div>
    <w:div w:id="737823846">
      <w:bodyDiv w:val="1"/>
      <w:marLeft w:val="0"/>
      <w:marRight w:val="0"/>
      <w:marTop w:val="0"/>
      <w:marBottom w:val="0"/>
      <w:divBdr>
        <w:top w:val="none" w:sz="0" w:space="0" w:color="auto"/>
        <w:left w:val="none" w:sz="0" w:space="0" w:color="auto"/>
        <w:bottom w:val="none" w:sz="0" w:space="0" w:color="auto"/>
        <w:right w:val="none" w:sz="0" w:space="0" w:color="auto"/>
      </w:divBdr>
    </w:div>
    <w:div w:id="756633331">
      <w:bodyDiv w:val="1"/>
      <w:marLeft w:val="0"/>
      <w:marRight w:val="0"/>
      <w:marTop w:val="0"/>
      <w:marBottom w:val="0"/>
      <w:divBdr>
        <w:top w:val="none" w:sz="0" w:space="0" w:color="auto"/>
        <w:left w:val="none" w:sz="0" w:space="0" w:color="auto"/>
        <w:bottom w:val="none" w:sz="0" w:space="0" w:color="auto"/>
        <w:right w:val="none" w:sz="0" w:space="0" w:color="auto"/>
      </w:divBdr>
    </w:div>
    <w:div w:id="945311422">
      <w:bodyDiv w:val="1"/>
      <w:marLeft w:val="0"/>
      <w:marRight w:val="0"/>
      <w:marTop w:val="0"/>
      <w:marBottom w:val="0"/>
      <w:divBdr>
        <w:top w:val="none" w:sz="0" w:space="0" w:color="auto"/>
        <w:left w:val="none" w:sz="0" w:space="0" w:color="auto"/>
        <w:bottom w:val="none" w:sz="0" w:space="0" w:color="auto"/>
        <w:right w:val="none" w:sz="0" w:space="0" w:color="auto"/>
      </w:divBdr>
    </w:div>
    <w:div w:id="1033261999">
      <w:bodyDiv w:val="1"/>
      <w:marLeft w:val="0"/>
      <w:marRight w:val="0"/>
      <w:marTop w:val="0"/>
      <w:marBottom w:val="0"/>
      <w:divBdr>
        <w:top w:val="none" w:sz="0" w:space="0" w:color="auto"/>
        <w:left w:val="none" w:sz="0" w:space="0" w:color="auto"/>
        <w:bottom w:val="none" w:sz="0" w:space="0" w:color="auto"/>
        <w:right w:val="none" w:sz="0" w:space="0" w:color="auto"/>
      </w:divBdr>
    </w:div>
    <w:div w:id="1059133977">
      <w:bodyDiv w:val="1"/>
      <w:marLeft w:val="0"/>
      <w:marRight w:val="0"/>
      <w:marTop w:val="0"/>
      <w:marBottom w:val="0"/>
      <w:divBdr>
        <w:top w:val="none" w:sz="0" w:space="0" w:color="auto"/>
        <w:left w:val="none" w:sz="0" w:space="0" w:color="auto"/>
        <w:bottom w:val="none" w:sz="0" w:space="0" w:color="auto"/>
        <w:right w:val="none" w:sz="0" w:space="0" w:color="auto"/>
      </w:divBdr>
    </w:div>
    <w:div w:id="1330712316">
      <w:bodyDiv w:val="1"/>
      <w:marLeft w:val="0"/>
      <w:marRight w:val="0"/>
      <w:marTop w:val="0"/>
      <w:marBottom w:val="0"/>
      <w:divBdr>
        <w:top w:val="none" w:sz="0" w:space="0" w:color="auto"/>
        <w:left w:val="none" w:sz="0" w:space="0" w:color="auto"/>
        <w:bottom w:val="none" w:sz="0" w:space="0" w:color="auto"/>
        <w:right w:val="none" w:sz="0" w:space="0" w:color="auto"/>
      </w:divBdr>
    </w:div>
    <w:div w:id="1401562685">
      <w:bodyDiv w:val="1"/>
      <w:marLeft w:val="0"/>
      <w:marRight w:val="0"/>
      <w:marTop w:val="0"/>
      <w:marBottom w:val="0"/>
      <w:divBdr>
        <w:top w:val="none" w:sz="0" w:space="0" w:color="auto"/>
        <w:left w:val="none" w:sz="0" w:space="0" w:color="auto"/>
        <w:bottom w:val="none" w:sz="0" w:space="0" w:color="auto"/>
        <w:right w:val="none" w:sz="0" w:space="0" w:color="auto"/>
      </w:divBdr>
    </w:div>
    <w:div w:id="1436487391">
      <w:bodyDiv w:val="1"/>
      <w:marLeft w:val="0"/>
      <w:marRight w:val="0"/>
      <w:marTop w:val="0"/>
      <w:marBottom w:val="0"/>
      <w:divBdr>
        <w:top w:val="none" w:sz="0" w:space="0" w:color="auto"/>
        <w:left w:val="none" w:sz="0" w:space="0" w:color="auto"/>
        <w:bottom w:val="none" w:sz="0" w:space="0" w:color="auto"/>
        <w:right w:val="none" w:sz="0" w:space="0" w:color="auto"/>
      </w:divBdr>
    </w:div>
    <w:div w:id="1472088585">
      <w:bodyDiv w:val="1"/>
      <w:marLeft w:val="0"/>
      <w:marRight w:val="0"/>
      <w:marTop w:val="0"/>
      <w:marBottom w:val="0"/>
      <w:divBdr>
        <w:top w:val="none" w:sz="0" w:space="0" w:color="auto"/>
        <w:left w:val="none" w:sz="0" w:space="0" w:color="auto"/>
        <w:bottom w:val="none" w:sz="0" w:space="0" w:color="auto"/>
        <w:right w:val="none" w:sz="0" w:space="0" w:color="auto"/>
      </w:divBdr>
    </w:div>
    <w:div w:id="1486051263">
      <w:bodyDiv w:val="1"/>
      <w:marLeft w:val="0"/>
      <w:marRight w:val="0"/>
      <w:marTop w:val="0"/>
      <w:marBottom w:val="0"/>
      <w:divBdr>
        <w:top w:val="none" w:sz="0" w:space="0" w:color="auto"/>
        <w:left w:val="none" w:sz="0" w:space="0" w:color="auto"/>
        <w:bottom w:val="none" w:sz="0" w:space="0" w:color="auto"/>
        <w:right w:val="none" w:sz="0" w:space="0" w:color="auto"/>
      </w:divBdr>
    </w:div>
    <w:div w:id="1531918127">
      <w:bodyDiv w:val="1"/>
      <w:marLeft w:val="0"/>
      <w:marRight w:val="0"/>
      <w:marTop w:val="0"/>
      <w:marBottom w:val="0"/>
      <w:divBdr>
        <w:top w:val="none" w:sz="0" w:space="0" w:color="auto"/>
        <w:left w:val="none" w:sz="0" w:space="0" w:color="auto"/>
        <w:bottom w:val="none" w:sz="0" w:space="0" w:color="auto"/>
        <w:right w:val="none" w:sz="0" w:space="0" w:color="auto"/>
      </w:divBdr>
    </w:div>
    <w:div w:id="1695692759">
      <w:bodyDiv w:val="1"/>
      <w:marLeft w:val="0"/>
      <w:marRight w:val="0"/>
      <w:marTop w:val="0"/>
      <w:marBottom w:val="0"/>
      <w:divBdr>
        <w:top w:val="none" w:sz="0" w:space="0" w:color="auto"/>
        <w:left w:val="none" w:sz="0" w:space="0" w:color="auto"/>
        <w:bottom w:val="none" w:sz="0" w:space="0" w:color="auto"/>
        <w:right w:val="none" w:sz="0" w:space="0" w:color="auto"/>
      </w:divBdr>
    </w:div>
    <w:div w:id="1705788815">
      <w:bodyDiv w:val="1"/>
      <w:marLeft w:val="0"/>
      <w:marRight w:val="0"/>
      <w:marTop w:val="0"/>
      <w:marBottom w:val="0"/>
      <w:divBdr>
        <w:top w:val="none" w:sz="0" w:space="0" w:color="auto"/>
        <w:left w:val="none" w:sz="0" w:space="0" w:color="auto"/>
        <w:bottom w:val="none" w:sz="0" w:space="0" w:color="auto"/>
        <w:right w:val="none" w:sz="0" w:space="0" w:color="auto"/>
      </w:divBdr>
    </w:div>
    <w:div w:id="1807897227">
      <w:bodyDiv w:val="1"/>
      <w:marLeft w:val="0"/>
      <w:marRight w:val="0"/>
      <w:marTop w:val="0"/>
      <w:marBottom w:val="0"/>
      <w:divBdr>
        <w:top w:val="none" w:sz="0" w:space="0" w:color="auto"/>
        <w:left w:val="none" w:sz="0" w:space="0" w:color="auto"/>
        <w:bottom w:val="none" w:sz="0" w:space="0" w:color="auto"/>
        <w:right w:val="none" w:sz="0" w:space="0" w:color="auto"/>
      </w:divBdr>
    </w:div>
    <w:div w:id="20139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Joanne Aney</cp:lastModifiedBy>
  <cp:revision>2</cp:revision>
  <dcterms:created xsi:type="dcterms:W3CDTF">2022-02-03T13:34:00Z</dcterms:created>
  <dcterms:modified xsi:type="dcterms:W3CDTF">2022-02-03T13:34:00Z</dcterms:modified>
</cp:coreProperties>
</file>